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w:t>
        <w:t xml:space="preserve">.  </w:t>
      </w:r>
      <w:r>
        <w:rPr>
          <w:b/>
        </w:rPr>
        <w:t xml:space="preserve">Responsibility for safekeeping</w:t>
      </w:r>
    </w:p>
    <w:p>
      <w:pPr>
        <w:jc w:val="both"/>
        <w:spacing w:before="100" w:after="100"/>
        <w:ind w:start="360"/>
        <w:ind w:firstLine="360"/>
      </w:pPr>
      <w:r>
        <w:rPr/>
      </w:r>
      <w:r>
        <w:rPr/>
      </w:r>
      <w:r>
        <w:t xml:space="preserve">The State shall be responsible for the safekeeping of all securities and receipts delivered to the superintendent under authority of this chapter.</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§1255. Responsibility for safekeeping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 Responsibility for safekeeping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§1255. RESPONSIBILITY FOR SAFEKEEPING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