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5184</w:t>
        <w:t xml:space="preserve">.  </w:t>
      </w:r>
      <w:r>
        <w:rPr>
          <w:b/>
        </w:rPr>
        <w:t xml:space="preserve">Courts have jurisdiction of all disputes</w:t>
      </w:r>
    </w:p>
    <w:p>
      <w:pPr>
        <w:jc w:val="both"/>
        <w:spacing w:before="100" w:after="100"/>
        <w:ind w:start="360"/>
        <w:ind w:firstLine="360"/>
      </w:pPr>
      <w:r>
        <w:rPr/>
      </w:r>
      <w:r>
        <w:rPr/>
      </w:r>
      <w:r>
        <w:t xml:space="preserve">The Supreme Judicial Court and the Superior Court, in addition to the jurisdiction specifically conferred by this chapter, have jurisdiction of all other matters in dispute, arising under this chapter relating to trustees, mortgages and the redemption and foreclosure of mortgages; but not to take away any rights or remedies that any party has and may elect to enforce by any civil action. In all proceedings relating to trustees or to mortgages, their foreclosure and redemption, not otherwise specifically provided for, the law relating to trusts and mortgages of real estate may be applied.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§5184. Courts have jurisdiction of all disputes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§5184. Courts have jurisdiction of all disputes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§5184. COURTS HAVE JURISDICTION OF ALL DISPUTES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