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4427</w:t>
        <w:t xml:space="preserve">.  </w:t>
      </w:r>
      <w:r>
        <w:rPr>
          <w:b/>
        </w:rPr>
        <w:t xml:space="preserve">Environmental laws</w:t>
      </w:r>
    </w:p>
    <w:p>
      <w:pPr>
        <w:jc w:val="both"/>
        <w:spacing w:before="100" w:after="100"/>
        <w:ind w:start="360"/>
        <w:ind w:firstLine="360"/>
      </w:pPr>
      <w:r>
        <w:rPr/>
      </w:r>
      <w:r>
        <w:rPr/>
      </w:r>
      <w:r>
        <w:t xml:space="preserve">Facilities acquired, constructed, operated or maintained under this subchapter, and land upon which the facilities are located is subject to such of the environmental laws of the State as would be applicable to private enterprise were the facilities owned or operated by the private sector and further providing that the Department of Transportation and the Maine Port Authority, its successors or assigns, are subject to Title 38, chapter 3, subchapter II-A.</w:t>
      </w:r>
      <w:r>
        <w:t xml:space="preserve">  </w:t>
      </w:r>
      <w:r xmlns:wp="http://schemas.openxmlformats.org/drawingml/2010/wordprocessingDrawing" xmlns:w15="http://schemas.microsoft.com/office/word/2012/wordml">
        <w:rPr>
          <w:rFonts w:ascii="Arial" w:hAnsi="Arial" w:cs="Arial"/>
          <w:sz w:val="22"/>
          <w:szCs w:val="22"/>
        </w:rPr>
        <w:t xml:space="preserve">[PL 1981, c. 456, Pt. A, §88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§A88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§4427. Environmental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§4427. Environmental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§4427. ENVIRONMENTAL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