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 VACATION OF PROPOSED TOWN WAYS IN LAND SUBDIVISION; REVOCATION OF DEDICATION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