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§1803-B. Local Road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§1803-B. Local Road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§1803-B. LOCAL ROAD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