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7936</w:t>
        <w:t xml:space="preserve">.  </w:t>
      </w:r>
      <w:r>
        <w:rPr>
          <w:b/>
        </w:rPr>
        <w:t xml:space="preserve">Liability of receiver</w:t>
      </w:r>
    </w:p>
    <w:p>
      <w:pPr>
        <w:jc w:val="both"/>
        <w:spacing w:before="100" w:after="100"/>
        <w:ind w:start="360"/>
        <w:ind w:firstLine="360"/>
      </w:pPr>
      <w:r>
        <w:rPr/>
      </w:r>
      <w:r>
        <w:rPr/>
      </w:r>
      <w:r>
        <w:t xml:space="preserve">A person may not bring suit against a receiver appointed under </w:t>
      </w:r>
      <w:r>
        <w:t>section 7933</w:t>
      </w:r>
      <w:r>
        <w:t xml:space="preserve"> without first securing leave of the court.  Except in cases of gross negligence or intentional wrongdoing, the receiver is liable in the receiver's official capacity only and any judgment rendered must be satisfied out of receivership assets.</w:t>
      </w:r>
      <w:r>
        <w:t xml:space="preserve">  </w:t>
      </w:r>
      <w:r xmlns:wp="http://schemas.openxmlformats.org/drawingml/2010/wordprocessingDrawing" xmlns:w15="http://schemas.microsoft.com/office/word/2012/wordml">
        <w:rPr>
          <w:rFonts w:ascii="Arial" w:hAnsi="Arial" w:cs="Arial"/>
          <w:sz w:val="22"/>
          <w:szCs w:val="22"/>
        </w:rPr>
        <w:t xml:space="preserve">[RR 2021, c. 2, Pt. B, §221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 RR 2021, c. 2, Pt. B, §221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§7936. Liability of receiver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§7936. Liability of receiver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§7936. LIABILITY OF RECEIVER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