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784</w:t>
        <w:t xml:space="preserve">.  </w:t>
      </w:r>
      <w:r>
        <w:rPr>
          <w:b/>
        </w:rPr>
        <w:t xml:space="preserve">Radon Relief Fund</w:t>
      </w:r>
    </w:p>
    <w:p>
      <w:pPr>
        <w:jc w:val="both"/>
        <w:spacing w:before="100" w:after="100"/>
        <w:ind w:start="360"/>
        <w:ind w:firstLine="360"/>
      </w:pPr>
      <w:r>
        <w:rPr/>
      </w:r>
      <w:r>
        <w:rPr/>
      </w:r>
      <w:r>
        <w:t xml:space="preserve">The Radon Relief Fund is established as a nonlapsing fund to support the radon-related research, testing, educational and mitigation activities of the division.  Funds received from registrations under </w:t>
      </w:r>
      <w:r>
        <w:t>sections 774</w:t>
      </w:r>
      <w:r>
        <w:t xml:space="preserve"> and </w:t>
      </w:r>
      <w:r>
        <w:t>775</w:t>
      </w:r>
      <w:r>
        <w:t xml:space="preserve"> and any other miscellaneous sources of income are deposited in the fund.  The division shall administer the fund.  Funds in the Radon Relief Fund must be deposited with the Treasurer of State to the credit of the fund and may be invested as provided by law.  Interest on these investments must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§784. Radon Relief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§784. Radon Relief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§784. RADON RELIEF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