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Right of entry</w:t>
      </w:r>
    </w:p>
    <w:p>
      <w:pPr>
        <w:jc w:val="both"/>
        <w:spacing w:before="100" w:after="100"/>
        <w:ind w:start="360"/>
        <w:ind w:firstLine="360"/>
      </w:pPr>
      <w:r>
        <w:rPr/>
      </w:r>
      <w:r>
        <w:rPr/>
      </w:r>
      <w:r>
        <w:t xml:space="preserve">The department shall have the right of entry to any facility licensed under this subtitle, at any reasonable time in order to determine the state of compliance by the facility to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To inspect any facility which the department knows or believes is operated without a license, the department may enter only with the permission of the owner or person in charge or with a search warrant from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Any application for a license under this subtitle shall constitute permission for entry and inspection to verify compliance with applicable law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§7804.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§7804.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