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§7271. MEMBER STATES, EFFECTIVE DATE AND AMENDMENT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