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§7270. Oversight, enforcement and dispute resolution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§7270. OVERSIGHT, ENFORCEMENT AND DISPUTE RESOLUTION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