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Designation of beneficiaries</w:t>
      </w:r>
    </w:p>
    <w:p>
      <w:pPr>
        <w:jc w:val="both"/>
        <w:spacing w:before="100" w:after="100"/>
        <w:ind w:start="360"/>
        <w:ind w:firstLine="360"/>
      </w:pPr>
      <w:r>
        <w:rPr/>
      </w:r>
      <w:r>
        <w:rPr/>
      </w:r>
      <w:r>
        <w:t xml:space="preserve">A resident of this State and members of the resident's immediate family and household who are eligible for social services as provided by Title XX of the Social Security Act by reason of income are also qualified to be a beneficiary of priority social services in terms of income.</w:t>
      </w:r>
      <w:r>
        <w:t xml:space="preserve">  </w:t>
      </w:r>
      <w:r xmlns:wp="http://schemas.openxmlformats.org/drawingml/2010/wordprocessingDrawing" xmlns:w15="http://schemas.microsoft.com/office/word/2012/wordml">
        <w:rPr>
          <w:rFonts w:ascii="Arial" w:hAnsi="Arial" w:cs="Arial"/>
          <w:sz w:val="22"/>
          <w:szCs w:val="22"/>
        </w:rPr>
        <w:t xml:space="preserve">[RR 2021, c. 2,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148, §3 (AMD). PL 1977, c. 435 (RPR). RR 2021, c. 2, Pt. B, §216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§6112. Designation of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Designation of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§6112. DESIGNATION OF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