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Venue</w:t>
      </w:r>
    </w:p>
    <w:p>
      <w:pPr>
        <w:jc w:val="both"/>
        <w:spacing w:before="100" w:after="100"/>
        <w:ind w:start="360"/>
        <w:ind w:firstLine="360"/>
      </w:pPr>
      <w:r>
        <w:rPr/>
      </w:r>
      <w:r>
        <w:rPr/>
      </w:r>
      <w:r>
        <w:t xml:space="preserve">A petition for termination of parental rights must be brought in the court that issued the final protection order. The court, for the convenience of the parties or other good cause, may transfer the petition to another district or division. A petition for termination of parental rights may also be brought in a Probate Court as part of an adoption proceeding as provided in </w:t>
      </w:r>
      <w:r>
        <w:t>Title 18‑C, Article 9</w:t>
      </w:r>
      <w:r>
        <w:t xml:space="preserve">, when a child protective proceeding has not been initiated.</w:t>
      </w:r>
      <w:r>
        <w:t xml:space="preserve">  </w:t>
      </w:r>
      <w:r xmlns:wp="http://schemas.openxmlformats.org/drawingml/2010/wordprocessingDrawing" xmlns:w15="http://schemas.microsoft.com/office/word/2012/wordml">
        <w:rPr>
          <w:rFonts w:ascii="Arial" w:hAnsi="Arial" w:cs="Arial"/>
          <w:sz w:val="22"/>
          <w:szCs w:val="22"/>
        </w:rPr>
        <w:t xml:space="preserve">[PL 2017, c. 402, Pt. C, §68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§13 (AMD). RR 1997, c. 2, §48 (COR). PL 2017, c. 402, Pt. C, §68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§4051.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