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3764</w:t>
        <w:t xml:space="preserve">.  </w:t>
      </w:r>
      <w:r>
        <w:rPr>
          <w:b/>
        </w:rPr>
        <w:t xml:space="preserve">Federal grants</w:t>
      </w:r>
    </w:p>
    <w:p>
      <w:pPr>
        <w:jc w:val="both"/>
        <w:spacing w:before="100" w:after="100"/>
        <w:ind w:start="360"/>
        <w:ind w:firstLine="360"/>
      </w:pPr>
      <w:r>
        <w:rPr/>
      </w:r>
      <w:r>
        <w:rPr/>
      </w:r>
      <w:r>
        <w:t xml:space="preserve">The Treasurer of State is the appropriate fiscal officer of the State to receive federal grants on account of the TANF program and administration of those grants, in accordance with the United States Social Security Act, and the State Controller shall authorize expenditures as approved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1997, c. 530,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§A16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§3764. Federal grants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§3764. Federal grants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§3764. FEDERAL GRANTS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