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3739</w:t>
        <w:t xml:space="preserve">.  </w:t>
      </w:r>
      <w:r>
        <w:rPr>
          <w:b/>
        </w:rPr>
        <w:t xml:space="preserve">Child Care Advisory Council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158, §2 (NEW). RR 1995, c. 2, §42 (COR). PL 1995, c. 418, §A39 (AMD). PL 1995, c. 502, §D8 (AMD). PL 1995, c. 560, §K82 (AMD). PL 1995, c. 560, §K83 (AFF). PL 1997, c. 530, §A14 (AMD). PL 2001, c. 179, §1 (AMD). PL 2001, c. 354, §3 (AMD). PL 2003, c. 689, §§B6,7 (REV). PL 2011, c. 388, §§9-14 (AMD). PL 2011, c. 657, Pt. AA, §63 (AMD). PL 2017, c. 407, Pt. A, §79 (AMD). PL 2019, c. 450, §16 (RP). PL 2019, c. 524, §16 (AMD). PL 2021, c. 293, Pt. A, §28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§3739. Child Care Advisory Council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§3739. Child Care Advisory Council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§3739. CHILD CARE ADVISORY COUNCIL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