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Civil rights</w:t>
      </w:r>
    </w:p>
    <w:p>
      <w:pPr>
        <w:jc w:val="both"/>
        <w:spacing w:before="100" w:after="100"/>
        <w:ind w:start="360"/>
        <w:ind w:firstLine="360"/>
      </w:pPr>
      <w:r>
        <w:rPr/>
      </w:r>
      <w:r>
        <w:rPr/>
      </w:r>
      <w:r>
        <w:t xml:space="preserve">The state supplemental income program shall be conducted in accordance with </w:t>
      </w:r>
      <w:r>
        <w:t>Title VI</w:t>
      </w:r>
      <w:r>
        <w:t xml:space="preserve"> of the Civil Rights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§3281.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§3281.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