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3279</w:t>
        <w:t xml:space="preserve">.  </w:t>
      </w:r>
      <w:r>
        <w:rPr>
          <w:b/>
        </w:rPr>
        <w:t xml:space="preserve">Unindorsed checks; procedure</w:t>
      </w:r>
    </w:p>
    <w:p>
      <w:pPr>
        <w:jc w:val="both"/>
        <w:spacing w:before="100" w:after="100"/>
        <w:ind w:start="360"/>
        <w:ind w:firstLine="360"/>
      </w:pPr>
      <w:r>
        <w:rPr/>
      </w:r>
      <w:r>
        <w:rPr/>
      </w:r>
      <w:r>
        <w:t xml:space="preserve">When, for any reason, a person who has been determined to be eligible for state supplemental income is unable to indorse the check for the last payment approved for the recipient prior to the recipient's death, the department may approve payment by the State of obligations incurred by the recipient for board and room in anticipation of the receipt of the check, the payments to be authorized in accordance with the rules of the department. A claim that may be paid under this section must be presented to the department in writing within 60 days of the date of the death of the eligible person.</w:t>
      </w:r>
      <w:r>
        <w:t xml:space="preserve">  </w:t>
      </w:r>
      <w:r xmlns:wp="http://schemas.openxmlformats.org/drawingml/2010/wordprocessingDrawing" xmlns:w15="http://schemas.microsoft.com/office/word/2012/wordml">
        <w:rPr>
          <w:rFonts w:ascii="Arial" w:hAnsi="Arial" w:cs="Arial"/>
          <w:sz w:val="22"/>
          <w:szCs w:val="22"/>
        </w:rPr>
        <w:t xml:space="preserve">[RR 2021, c. 2, Pt. B, §169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§3279. UNINDORSED CHECKS;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