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§3174-MMM. COVERAGE FOR GENDER-AFFIRMING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