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2959</w:t>
        <w:t xml:space="preserve">.  </w:t>
      </w:r>
      <w:r>
        <w:rPr>
          <w:b/>
        </w:rPr>
        <w:t xml:space="preserve">Honoring decision of donors</w:t>
      </w:r>
    </w:p>
    <w:p>
      <w:pPr>
        <w:jc w:val="both"/>
        <w:spacing w:before="100" w:after="100"/>
        <w:ind w:start="360"/>
        <w:ind w:firstLine="360"/>
      </w:pPr>
      <w:r>
        <w:rPr/>
      </w:r>
      <w:r>
        <w:rPr/>
      </w:r>
      <w:r>
        <w:t xml:space="preserve">A person's decision to make a donation of that person's own body, organ or tissue after death must be honored.  In the absence of a revocation or amendment under </w:t>
      </w:r>
      <w:r>
        <w:t>section 2946</w:t>
      </w:r>
      <w:r>
        <w:t xml:space="preserve">, health care providers and procurement organizations shall act in accordance with the donor's decision and may take appropriate actions to effect the gift.</w:t>
      </w:r>
      <w:r>
        <w:t xml:space="preserve">  </w:t>
      </w:r>
      <w:r xmlns:wp="http://schemas.openxmlformats.org/drawingml/2010/wordprocessingDrawing" xmlns:w15="http://schemas.microsoft.com/office/word/2012/wordml">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§2959. Honoring decision of donors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§2959. Honoring decision of donors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§2959. HONORING DECISION OF DONORS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