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2957</w:t>
        <w:t xml:space="preserve">.  </w:t>
      </w:r>
      <w:r>
        <w:rPr>
          <w:b/>
        </w:rPr>
        <w:t xml:space="preserve">Law governing validity; choice of law as to execution of document of gift; presumption of validity</w:t>
      </w:r>
    </w:p>
    <w:p>
      <w:pPr>
        <w:jc w:val="both"/>
        <w:spacing w:before="100" w:after="100"/>
        <w:ind w:start="360"/>
        <w:ind w:firstLine="360"/>
      </w:pPr>
      <w:r>
        <w:rPr>
          <w:b/>
        </w:rPr>
        <w:t>1</w:t>
        <w:t xml:space="preserve">.  </w:t>
      </w:r>
      <w:r>
        <w:rPr>
          <w:b/>
        </w:rPr>
        <w:t xml:space="preserve">Validity of document.</w:t>
        <w:t xml:space="preserve"> </w:t>
      </w:r>
      <w:r>
        <w:t xml:space="preserve"> </w:t>
      </w:r>
      <w:r>
        <w:t xml:space="preserve">A document of gift is valid if executed in accordance with:</w:t>
      </w:r>
    </w:p>
    <w:p>
      <w:pPr>
        <w:jc w:val="both"/>
        <w:spacing w:before="100" w:after="0"/>
        <w:ind w:start="720"/>
      </w:pPr>
      <w:r>
        <w:rPr/>
        <w:t>A</w:t>
        <w:t xml:space="preserve">.  </w:t>
      </w:r>
      <w:r>
        <w:rPr/>
      </w:r>
      <w:r>
        <w:t xml:space="preserve">This chapter;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The laws of the state or country where it was executed; or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C</w:t>
        <w:t xml:space="preserve">.  </w:t>
      </w:r>
      <w:r>
        <w:rPr/>
      </w:r>
      <w:r>
        <w:t xml:space="preserve">The laws of the state or country where the person making the anatomical gift was domiciled, has a place of residence or was a national at the time the document of gift was executed.</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Law of State governs.</w:t>
        <w:t xml:space="preserve"> </w:t>
      </w:r>
      <w:r>
        <w:t xml:space="preserve"> </w:t>
      </w:r>
      <w:r>
        <w:t xml:space="preserve">If a document of gift is valid under this section, the law of this State governs the interpretation of the document of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Presumption.</w:t>
        <w:t xml:space="preserve"> </w:t>
      </w:r>
      <w:r>
        <w:t xml:space="preserve"> </w:t>
      </w:r>
      <w:r>
        <w:t xml:space="preserve">A person may presume that a document of gift or amendment of an anatomical gift is valid unless that person knows that it was not validly executed or was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§2957. Law governing validity; choice of law as to execution of document of gift; presumption of validity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§2957. Law governing validity; choice of law as to execution of document of gift; presumption of validity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§2957. LAW GOVERNING VALIDITY; CHOICE OF LAW AS TO EXECUTION OF DOCUMENT OF GIFT; PRESUMPTION OF VALIDITY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