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2660-X</w:t>
        <w:t xml:space="preserve">.  </w:t>
      </w:r>
      <w:r>
        <w:rPr>
          <w:b/>
        </w:rPr>
        <w:t xml:space="preserve">Rules</w:t>
      </w:r>
    </w:p>
    <w:p>
      <w:pPr>
        <w:jc w:val="both"/>
        <w:spacing w:before="100" w:after="100"/>
        <w:ind w:start="360"/>
        <w:ind w:firstLine="360"/>
      </w:pPr>
      <w:r>
        <w:rPr/>
      </w:r>
      <w:r>
        <w:rPr/>
      </w:r>
      <w:r>
        <w:t xml:space="preserve">The department shall adopt routine technical rules pursuant to </w:t>
      </w:r>
      <w:r>
        <w:t>Title 5, chapter 375, subchapter 2‑A</w:t>
      </w:r>
      <w:r>
        <w:t xml:space="preserve"> necessary to administer and enforce this subchapter.  The rules may address, but are not limited to, testing recommendations for contaminants or properties specified pursuant to </w:t>
      </w:r>
      <w:r>
        <w:t>section 2660‑T</w:t>
      </w:r>
      <w:r>
        <w:t xml:space="preserve">, water sample test reporting and fee schedules.</w:t>
      </w:r>
      <w:r>
        <w:t xml:space="preserve">  </w:t>
      </w:r>
      <w:r xmlns:wp="http://schemas.openxmlformats.org/drawingml/2010/wordprocessingDrawing" xmlns:w15="http://schemas.microsoft.com/office/word/2012/wordml">
        <w:rPr>
          <w:rFonts w:ascii="Arial" w:hAnsi="Arial" w:cs="Arial"/>
          <w:sz w:val="22"/>
          <w:szCs w:val="22"/>
        </w:rPr>
        <w:t xml:space="preserve">[PL 2017, c. 230,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230,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§2660-X. Rules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§2660-X. Rules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§2660-X. RULES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