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2524</w:t>
        <w:t xml:space="preserve">.  </w:t>
      </w:r>
      <w:r>
        <w:rPr>
          <w:b/>
        </w:rPr>
        <w:t xml:space="preserve">General penalties</w:t>
      </w:r>
    </w:p>
    <w:p>
      <w:pPr>
        <w:jc w:val="both"/>
        <w:spacing w:before="100" w:after="0"/>
        <w:ind w:start="360"/>
        <w:ind w:firstLine="360"/>
      </w:pPr>
      <w:r>
        <w:rPr>
          <w:b/>
        </w:rPr>
        <w:t>1</w:t>
        <w:t xml:space="preserve">.  </w:t>
      </w:r>
      <w:r>
        <w:rPr>
          <w:b/>
        </w:rPr>
        <w:t xml:space="preserve">Criminal violation.</w:t>
        <w:t xml:space="preserve"> </w:t>
      </w:r>
      <w:r>
        <w:t xml:space="preserve"> </w:t>
      </w:r>
      <w:r>
        <w:t xml:space="preserve">A person who violates this chapter or the rules adopted under this chapter for which  no other criminal penalty is provided by this chapter commits a Class E crime.  If the violation involves intent to defraud or any distribution or attempted distribution of a product that is adulterated, except as defined in </w:t>
      </w:r>
      <w:r>
        <w:t>section 2511, subsection 1, paragraph K</w:t>
      </w:r>
      <w:r>
        <w:t xml:space="preserve">, the person commits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799, §1 (NEW).]</w:t>
      </w:r>
    </w:p>
    <w:p>
      <w:pPr>
        <w:jc w:val="both"/>
        <w:spacing w:before="100" w:after="0"/>
        <w:ind w:start="360"/>
        <w:ind w:firstLine="360"/>
      </w:pPr>
      <w:r>
        <w:rPr>
          <w:b/>
        </w:rPr>
        <w:t>2</w:t>
        <w:t xml:space="preserve">.  </w:t>
      </w:r>
      <w:r>
        <w:rPr>
          <w:b/>
        </w:rPr>
        <w:t xml:space="preserve">Civil violation.</w:t>
        <w:t xml:space="preserve"> </w:t>
      </w:r>
      <w:r>
        <w:t xml:space="preserve"> </w:t>
      </w:r>
      <w:r>
        <w:t xml:space="preserve">A person who violates this chapter or any rule adopted under this chapter commits a civil violation for which a forfeiture of not more than $1,000 may be adjudged for each violation.  If the commissioner finds that the violation occurred despite the exercise of due care, the commissioner may issue a warning instead of seeking a forfeiture.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777,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§2524. General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§2524. General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§2524. GENERAL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