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2513</w:t>
        <w:t xml:space="preserve">.  </w:t>
      </w:r>
      <w:r>
        <w:rPr>
          <w:b/>
        </w:rPr>
        <w:t xml:space="preserve">Rules</w:t>
      </w:r>
    </w:p>
    <w:p>
      <w:pPr>
        <w:jc w:val="both"/>
        <w:spacing w:before="100" w:after="100"/>
        <w:ind w:start="360"/>
        <w:ind w:firstLine="360"/>
      </w:pPr>
      <w:r>
        <w:rPr/>
      </w:r>
      <w:r>
        <w:rPr/>
      </w:r>
      <w:r>
        <w:t xml:space="preserve">The commissioner shall adopt rules to carry out the purposes of this chapter.  Rules adopted under this section may incorporate by reference those provisions of the Code of Federal Regulations that are applicable to meat and poultry inspection, as such regulations may be amended, and that are necessary to remain in compliance with the federal requirements for the State’s meat and poultry products inspection and licensing program under </w:t>
      </w:r>
      <w:r>
        <w:t>section 2512</w:t>
      </w:r>
      <w:r>
        <w:t xml:space="preserve">.  Rules adopted under this chapter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393,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777, §1 (NEW). PL 2009, c. 393,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§2513.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§2513.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§2513.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