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w:t>
        <w:t xml:space="preserve">.  </w:t>
      </w:r>
      <w:r>
        <w:rPr>
          <w:b/>
        </w:rPr>
        <w:t xml:space="preserve">Restrictions of the number of replacement electronic benefits transfer cards</w:t>
      </w:r>
    </w:p>
    <w:p>
      <w:pPr>
        <w:jc w:val="both"/>
        <w:spacing w:before="100" w:after="100"/>
        <w:ind w:start="360"/>
        <w:ind w:firstLine="360"/>
      </w:pPr>
      <w:r>
        <w:rPr/>
      </w:r>
      <w:r>
        <w:rPr/>
      </w:r>
      <w:r>
        <w:t xml:space="preserve">When the department determines that the number of requests by a recipient of benefits for a replacement electronic benefits transfer card is excessive, the department shall require the recipient or a member of the recipient's household to contact the recipient's local office of the department to provide an explanation for the requests.  Upon a 5th request for a replacement card within a 12-month period, the department may not issue a replacement card until the recipient or a member of the recipient's household reports to the recipient's local office of the department to explain the excessive number of replacement requests.</w:t>
      </w:r>
      <w:r>
        <w:t xml:space="preserve">  </w:t>
      </w:r>
      <w:r xmlns:wp="http://schemas.openxmlformats.org/drawingml/2010/wordprocessingDrawing" xmlns:w15="http://schemas.microsoft.com/office/word/2012/wordml">
        <w:rPr>
          <w:rFonts w:ascii="Arial" w:hAnsi="Arial" w:cs="Arial"/>
          <w:sz w:val="22"/>
          <w:szCs w:val="22"/>
        </w:rPr>
        <w:t xml:space="preserve">[PL 2017, c. 284, Pt. NNNNNNN,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NNNNNNN,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 Restrictions of the number of replacement electronic benefits transfer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 Restrictions of the number of replacement electronic benefits transfer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 RESTRICTIONS OF THE NUMBER OF REPLACEMENT ELECTRONIC BENEFITS TRANSFER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