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PL 2023, c. 679,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