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2139</w:t>
        <w:t xml:space="preserve">.  </w:t>
      </w:r>
      <w:r>
        <w:rPr>
          <w:b/>
        </w:rPr>
        <w:t xml:space="preserve">Complaints</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department is authorized to investigate complaints against a temporary nurse agency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Notwithstanding any other remedies provided by law,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file a complaint with the District Court seeking civil penalties or injunctive relief or both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4</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5</w:t>
        <w:t xml:space="preserve">.  </w:t>
      </w:r>
      <w:r>
        <w:rPr>
          <w:b/>
        </w:rPr>
        <w:t xml:space="preserve">Burden of proof.</w:t>
        <w:t xml:space="preserve"> </w:t>
      </w:r>
      <w:r>
        <w:t xml:space="preserve"> </w:t>
      </w:r>
      <w:r>
        <w:t xml:space="preserve">The burden is on the department to prove, by a preponderance of the evidence, that the alleged violation of this chapter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6</w:t>
        <w:t xml:space="preserve">.  </w:t>
      </w:r>
      <w:r>
        <w:rPr>
          <w:b/>
        </w:rPr>
        <w:t xml:space="preserve">Right of entry.</w:t>
        <w:t xml:space="preserve"> </w:t>
      </w:r>
      <w:r>
        <w:t xml:space="preserve"> </w:t>
      </w:r>
      <w:r>
        <w:t xml:space="preserve">This subsection governs the department's right of entry with respect to temporary nurse agencies.</w:t>
      </w:r>
    </w:p>
    <w:p>
      <w:pPr>
        <w:jc w:val="both"/>
        <w:spacing w:before="100" w:after="0"/>
        <w:ind w:start="720"/>
      </w:pPr>
      <w:r>
        <w:rPr/>
        <w:t>A</w:t>
        <w:t xml:space="preserve">.  </w:t>
      </w:r>
      <w:r>
        <w:rPr/>
      </w:r>
      <w:r>
        <w:t xml:space="preserve">An application for registration of a temporary nurse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B</w:t>
        <w:t xml:space="preserve">.  </w:t>
      </w:r>
      <w:r>
        <w:rPr/>
      </w:r>
      <w:r>
        <w:t xml:space="preserve">The department has the right to enter and inspect the premises of a temporary nurse agency registered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C</w:t>
        <w:t xml:space="preserve">.  </w:t>
      </w:r>
      <w:r>
        <w:rPr/>
      </w:r>
      <w:r>
        <w:t xml:space="preserve">To inspect a temporary nurse agency that the department knows or believes is being operated without being registered,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7</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unregistered temporary nurse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chapter. The right of entry and inspection may extend to any premises and documents of a person, firm, partnership, association, corporation or other entity that the department has reason to believe is operating a temporary nurse agency without being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8</w:t>
        <w:t xml:space="preserve">.  </w:t>
      </w:r>
      <w:r>
        <w:rPr>
          <w:b/>
        </w:rPr>
        <w:t xml:space="preserve">Noninterference.</w:t>
        <w:t xml:space="preserve"> </w:t>
      </w:r>
      <w:r>
        <w:t xml:space="preserve"> </w:t>
      </w:r>
      <w:r>
        <w:t xml:space="preserve">An owner or operator of an unregistered temporary nurse agency may not interfere with, impede or obstruct an investigation by the department, including, but not limited to, interviewing persons receiving services or persons with knowledge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9</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chapter shall pay to the State a fine of not less than $500 nor more than $10,000 for each violation. Each day of violation constitutes a separate offense. In any action brought by the Attorney General against a person, firm, partnership, association, corporation or other entity for violating the terms of an injunction under this chapter, the District Court may make the necessary orders or judgments regarding violation of the terms of the injunction.</w:t>
      </w:r>
    </w:p>
    <w:p>
      <w:pPr>
        <w:jc w:val="both"/>
        <w:spacing w:before="100" w:after="0"/>
        <w:ind w:start="360"/>
      </w:pPr>
      <w:r>
        <w:rPr/>
      </w:r>
      <w:r>
        <w:rPr/>
      </w:r>
      <w:r>
        <w:t xml:space="preserve">In an action under this chapter,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10</w:t>
        <w:t xml:space="preserve">.  </w:t>
      </w:r>
      <w:r>
        <w:rPr>
          <w:b/>
        </w:rPr>
        <w:t xml:space="preserve">Suspension or revocation of registration.</w:t>
        <w:t xml:space="preserve"> </w:t>
      </w:r>
      <w:r>
        <w:t xml:space="preserve"> </w:t>
      </w:r>
      <w:r>
        <w:t xml:space="preserve">A temporary nurse agency found to be in violation of this chapter may have its registration to operate as a temporary nurse agency suspended or revoked. The department may file a complaint with the District Court requesting suspension or revocation of a registration to operate a temporary nurse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§2139.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§2139.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§2139.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