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1688</w:t>
        <w:t xml:space="preserve">.  </w:t>
      </w:r>
      <w:r>
        <w:rPr>
          <w:b/>
        </w:rPr>
        <w:t xml:space="preserve">Enforcement</w:t>
      </w:r>
    </w:p>
    <w:p>
      <w:pPr>
        <w:jc w:val="both"/>
        <w:spacing w:before="100" w:after="100"/>
        <w:ind w:start="360"/>
        <w:ind w:firstLine="360"/>
      </w:pPr>
      <w:r>
        <w:rPr/>
      </w:r>
      <w:r>
        <w:rPr/>
      </w:r>
      <w:r>
        <w:t xml:space="preserve">This chapter shall be enforced by the Division of Health Engineering. Anyone violating this chapter or rules under this chapter commits a civil violation for which a forfeiture of not more than $200 may be adjudged. Each day of violation shall be considered a separate offense.</w:t>
      </w:r>
      <w:r>
        <w:t xml:space="preserve">  </w:t>
      </w:r>
      <w:r xmlns:wp="http://schemas.openxmlformats.org/drawingml/2010/wordprocessingDrawing" xmlns:w15="http://schemas.microsoft.com/office/word/2012/wordml">
        <w:rPr>
          <w:rFonts w:ascii="Arial" w:hAnsi="Arial" w:cs="Arial"/>
          <w:sz w:val="22"/>
          <w:szCs w:val="22"/>
        </w:rPr>
        <w:t xml:space="preserve">[PL 1987, c. 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§1688.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§1688.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§1688.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