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1555-A</w:t>
        <w:t xml:space="preserve">.  </w:t>
      </w:r>
      <w:r>
        <w:rPr>
          <w:b/>
        </w:rPr>
        <w:t xml:space="preserve">Identification cards</w:t>
      </w:r>
    </w:p>
    <w:p>
      <w:pPr>
        <w:jc w:val="both"/>
        <w:spacing w:before="100" w:after="100"/>
        <w:ind w:start="360"/>
        <w:ind w:firstLine="360"/>
      </w:pPr>
      <w:r>
        <w:rPr/>
      </w:r>
      <w:r>
        <w:rPr/>
      </w:r>
      <w:r>
        <w:t xml:space="preserve">A licensee may refuse to sell tobacco to any person who fails to display upon request an identification card issued under </w:t>
      </w:r>
      <w:r>
        <w:t>Title 29‑A, section 1410</w:t>
      </w:r>
      <w:r>
        <w:t xml:space="preserve"> or a motor vehicle operator's license bearing the photograph of the operator and issued under </w:t>
      </w:r>
      <w:r>
        <w:t>Title 29‑A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437,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§1555-A. Identification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§1555-A. Identification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§1555-A. IDENTIFICATION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