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1411</w:t>
        <w:t xml:space="preserve">.  </w:t>
      </w:r>
      <w:r>
        <w:rPr>
          <w:b/>
        </w:rPr>
        <w:t xml:space="preserve">Registry established</w:t>
      </w:r>
    </w:p>
    <w:p>
      <w:pPr>
        <w:jc w:val="both"/>
        <w:spacing w:before="100" w:after="100"/>
        <w:ind w:start="360"/>
        <w:ind w:firstLine="360"/>
      </w:pPr>
      <w:r>
        <w:rPr/>
      </w:r>
      <w:r>
        <w:rPr/>
      </w:r>
      <w:r>
        <w:t xml:space="preserve">The Maine Center for Disease Control and Prevention shall establish, maintain and operate a statewide amyotrophic lateral sclerosis incidence registry, referred to in this chapter as "the registry."</w:t>
      </w:r>
      <w:r>
        <w:t xml:space="preserve">  </w:t>
      </w:r>
      <w:r xmlns:wp="http://schemas.openxmlformats.org/drawingml/2010/wordprocessingDrawing" xmlns:w15="http://schemas.microsoft.com/office/word/2012/wordml">
        <w:rPr>
          <w:rFonts w:ascii="Arial" w:hAnsi="Arial" w:cs="Arial"/>
          <w:sz w:val="22"/>
          <w:szCs w:val="22"/>
        </w:rPr>
        <w:t xml:space="preserve">[PL 2021, c. 613,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613,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§1411. Registry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§1411. Registry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§1411. REGISTRY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