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Maine Children's Cancer Research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Children's Cancer Research Fund, referred to in this section as "the fund," is established as a nonlapsing fund to support children's cancer research by individuals and organizations determined to be eligible according to rules adopted by the department under </w:t>
      </w:r>
      <w:r>
        <w:t>subsection 3</w:t>
      </w:r>
      <w:r>
        <w:t xml:space="preserve">.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provide grants and other funding to support children's cancer research provided by research facilities in this State that operate children's cancer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and to determine the criteria for eligible recipients.  When providing grants and other funding under </w:t>
      </w:r>
      <w:r>
        <w:t>subsection 2</w:t>
      </w:r>
      <w:r>
        <w:t xml:space="preserve">, the department shall consider the number of patients served by programs receiving support.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5292</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§1409. Maine Children's Cancer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Maine Children's Cancer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§1409. MAINE CHILDREN'S CANCER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