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DEATHS AND BURIALS</w:t>
      </w:r>
    </w:p>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jc w:val="both"/>
        <w:spacing w:before="100" w:after="100"/>
        <w:ind w:start="1080" w:hanging="720"/>
      </w:pPr>
      <w:r>
        <w:rPr>
          <w:b/>
        </w:rPr>
        <w:t>§</w:t>
        <w:t>2841-A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§9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 </w:t>
      </w:r>
    </w:p>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1080" w:hanging="720"/>
      </w:pPr>
      <w:r>
        <w:rPr>
          <w:b/>
        </w:rPr>
        <w:t>(CONFLICT)</w:t>
      </w:r>
    </w:p>
    <w:p>
      <w:pPr>
        <w:jc w:val="both"/>
        <w:spacing w:before="100" w:after="100"/>
        <w:ind w:start="360"/>
        <w:ind w:firstLine="360"/>
      </w:pPr>
      <w:r>
        <w:rPr/>
      </w:r>
      <w:r>
        <w:rPr/>
      </w:r>
      <w:r>
        <w:t xml:space="preserve">Except as authorized by the department, a dead human body may not be buried, cremated, subjected to natural organic reduction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sections 1405</w:t>
      </w:r>
      <w:r>
        <w:t xml:space="preserve"> and </w:t>
      </w:r>
      <w:r>
        <w:t>2900‑A</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2023, c. 676, §10 (AMD).]</w:t>
      </w:r>
    </w:p>
    <w:p>
      <w:pPr>
        <w:jc w:val="both"/>
        <w:spacing w:before="100" w:after="100"/>
        <w:ind w:start="360"/>
        <w:ind w:firstLine="360"/>
      </w:pPr>
      <w:r>
        <w:rPr/>
      </w:r>
      <w:r>
        <w:rPr/>
      </w:r>
      <w:r>
        <w:t xml:space="preserve">The State Registrar of Vital Statistics or a municipal clerk may issue a permit for final disposition by cremation, burial at sea, use by medical science, natural organic reduction or removal from the State only upon receipt of a certificate by a duly appointed medicolegal death investigator or medical examiner as specified in </w:t>
      </w:r>
      <w:r>
        <w:t>Title 32, section 1405</w:t>
      </w:r>
      <w:r>
        <w:t xml:space="preserve"> or </w:t>
      </w:r>
      <w:r>
        <w:t>section 2900‑A,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person in charge of each burying ground, crematory or natural organic reduction facility in this State shall endorse, and provide the date the body was disposed of on, each such permit with which that person is presented and return it to the State Registrar of Vital Statistics or to the clerk of the municipality in which such burying ground, crematory or facility is located within 7 days after the date of disposition.  If there is no person in charge of the burying ground, an official of the municipality in which the burying ground is located shall endorse, and provide the date the body was disposed of on, each such permit and present it to the State Registrar of Vital Statistics or the clerk of the municipality.  The funeral director or authorized person shall present a copy of each permit, after endorsement, to the State Registrar of Vital Statistics or the clerk of the municipality where death occurred and to the clerk who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§12 (AMD).]</w:t>
      </w:r>
    </w:p>
    <w:p>
      <w:pPr>
        <w:jc w:val="both"/>
        <w:spacing w:before="100" w:after="100"/>
        <w:ind w:start="360"/>
        <w:ind w:firstLine="360"/>
      </w:pPr>
      <w:r>
        <w:rPr>
          <w:b/>
        </w:rPr>
        <w:t>3-A</w:t>
        <w:t xml:space="preserve">.  </w:t>
      </w:r>
      <w:r>
        <w:rPr>
          <w:b/>
        </w:rPr>
        <w:t>(CONFLICT: Text as repealed by PL 2023, c. 67, §4)</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100"/>
        <w:ind w:start="360"/>
        <w:ind w:firstLine="360"/>
      </w:pPr>
      <w:r>
        <w:rPr>
          <w:b/>
        </w:rPr>
        <w:t>3-A</w:t>
        <w:t xml:space="preserve">.  </w:t>
      </w:r>
      <w:r>
        <w:rPr>
          <w:b/>
        </w:rPr>
        <w:t>(CONFLICT: Text as amended by PL 2023, c. 676, §13)</w:t>
        <w:t xml:space="preserve"> </w:t>
      </w:r>
      <w:r>
        <w:rPr>
          <w:b/>
        </w:rPr>
        <w:t xml:space="preserve">Authorization for burial of cremated or other remains in public burying ground.</w:t>
        <w:t xml:space="preserve"> </w:t>
      </w:r>
      <w:r>
        <w:t xml:space="preserve"> </w:t>
      </w:r>
      <w:r>
        <w:t xml:space="preserve">The State Registrar of Vital Statistics shall provide an authorization to be used for the purposes of this subsection.  If human remains that have been cremated or subjected to natural organic reduction are buried in a public burying ground in the State, the person in charge of the public burying ground shall endorse and record the date the remains were buried on an authorization for the remains and return the authorization to the State Registrar of Vital Statistics or to the clerk of the municipality in which the public burying ground is located within 7 days after the remains were buried.  If there is no person in charge of the public burying ground, an official of the municipality in which the public burying ground is located shall endorse and record the date the remains were buried on the authorization and present the authorization to the State Registrar of Vital Statistics or the clerk of the municipality.  If an authorization is not returned to the State Registrar of Vital Statistics within 7 days after remains were buried, the funeral director or authorized person may present a copy of the authorization, if the authorization has been endorsed, to the State Registrar of Vital Statistics or the clerk of the municipality where death occurred and to the clerk who issued the authorization.</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"Authorization" means the form or electronic process prescribed and furnished by the State Registrar of Vital Statistics for the purpose of recording the consent of an authorized person for the burial or removal of human remains that have been cremated or subjected to natural organic reduction in a public burying ground as specified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676, §13 (AMD).]</w:t>
      </w:r>
    </w:p>
    <w:p>
      <w:pPr>
        <w:jc w:val="both"/>
        <w:spacing w:before="100" w:after="0"/>
        <w:ind w:start="720"/>
      </w:pPr>
      <w:r>
        <w:rPr/>
        <w:t>B</w:t>
        <w:t xml:space="preserve">.  </w:t>
      </w:r>
      <w:r>
        <w:rPr/>
      </w:r>
      <w:r>
        <w:t xml:space="preserve">"Burial" means all manner of dispersal or deposit in or on the ground or in a structure.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w:pPr>
        <w:jc w:val="both"/>
        <w:spacing w:before="100" w:after="0"/>
        <w:ind w:start="720"/>
      </w:pPr>
      <w:r>
        <w:rPr/>
        <w:t>C</w:t>
        <w:t xml:space="preserve">.  </w:t>
      </w:r>
      <w:r>
        <w:rPr/>
      </w:r>
      <w:r>
        <w:t xml:space="preserve">"Public burying ground" has the same meaning as in </w:t>
      </w:r>
      <w:r>
        <w:t>Title 13, section 1101‑A,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§13 (AMD).]</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PL 2023, c. 676, §§10-13 (AMD). </w:t>
      </w:r>
    </w:p>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cremate or subject to natural organic reduction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§14 (AMD).]</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crematories and natural organic reduction facilities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subsection 4 a funeral director or practitioner of funeral service who has physical possession of the remains or a dead body may embalm or refrigerate and shelter the remains or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C</w:t>
        <w:t xml:space="preserve">.  </w:t>
      </w:r>
      <w:r>
        <w:rPr/>
      </w:r>
      <w:r>
        <w:t xml:space="preserve">A person who signs a statement of funeral goods and services or a cremation or natural organic reduction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D</w:t>
        <w:t xml:space="preserve">.  </w:t>
      </w:r>
      <w:r>
        <w:rPr/>
      </w:r>
      <w:r>
        <w:t xml:space="preserve">A funeral director or practitioner of funeral service, cemetery, natural organic reduction facility or crematory may rely on a statement of funeral goods and services or a cremation or natural organic reduction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natural organic reduction facility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E</w:t>
        <w:t xml:space="preserve">.  </w:t>
      </w:r>
      <w:r>
        <w:rPr/>
      </w:r>
      <w:r>
        <w:t xml:space="preserve">A funeral director or practitioner of funeral service, cemetery, natural organic reduction facility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F</w:t>
        <w:t xml:space="preserve">.  </w:t>
      </w:r>
      <w:r>
        <w:rPr/>
      </w:r>
      <w:r>
        <w:t xml:space="preserve">Upon cremation or natural organic reduction of the remains or dead body, the crematory or natural organic reduction facility shall prepare a certificate of cremation or natural organic reduction signed and dated by the person in charge of the cremation or natural organic reduction indicating the date of cremation or natural organic reduction and the identity of the remains or dead body as identified by the funeral director or practitioner of funeral service or the cremation or natural organic reduction authorization form, including the deceased person's full name, date and place of death, gender and veteran status.  The crematory or natural organic reduction facility shall provide the certificate of cremation or natural organic reduction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PL 2023, c. 676, §§14, 15 (AMD). </w:t>
      </w:r>
    </w:p>
    <w:p>
      <w:pPr>
        <w:jc w:val="both"/>
        <w:spacing w:before="100" w:after="100"/>
        <w:ind w:start="1080" w:hanging="720"/>
      </w:pPr>
      <w:r>
        <w:rPr>
          <w:b/>
        </w:rPr>
        <w:t>§</w:t>
        <w:t>2844</w:t>
        <w:t xml:space="preserve">.  </w:t>
      </w:r>
      <w:r>
        <w:rPr>
          <w:b/>
        </w:rPr>
        <w:t xml:space="preserve">Subregistrars</w:t>
      </w:r>
    </w:p>
    <w:p>
      <w:pPr>
        <w:jc w:val="both"/>
        <w:spacing w:before="100" w:after="100"/>
        <w:ind w:start="360"/>
        <w:ind w:firstLine="360"/>
      </w:pPr>
      <w:r>
        <w:rPr/>
      </w:r>
      <w:r>
        <w:rPr/>
      </w:r>
      <w:r>
        <w:t xml:space="preserve">The State Registrar of Vital Statistics or municipal clerk may appoint one or more suitable and proper persons in a municipality as subregistrars, who are authorized to issue permits for transportation and final disposition of dead human bodies in the same manner as is required of the state registrar or municipal clerk, as specified by department rule.   The completed death certificate or report of death, upon which the permit is issued, together with a copy of the disposition of human remains permit must be forwarded to the municipal clerk at the earliest opening of the municipal office after the date of issue, and all permits by whomsoever issued must be returned to the municipal clerk as required by </w:t>
      </w:r>
      <w:r>
        <w:t>section 2843</w:t>
      </w:r>
      <w:r>
        <w:t xml:space="preserve">.  The appointment of subregistrars must be made with reference to locality, so as to best suit the convenience of the inhabitants of the municipality, and such annual appointment must be in writing and recorded in the office of the state registrar or municipal clerk.  The subregistrars in any municipality hold office at the pleasure of the state registrar or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231, §4 (AMD). PL 1989, c. 54 (AMD). PL 2001, c. 574, §29 (AMD). PL 2009, c. 601, §30 (AMD). </w:t>
      </w:r>
    </w:p>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jc w:val="both"/>
        <w:spacing w:before="100" w:after="100"/>
        <w:ind w:start="1080" w:hanging="720"/>
      </w:pPr>
      <w:r>
        <w:rPr>
          <w:b/>
        </w:rPr>
        <w:t>§</w:t>
        <w:t>2847</w:t>
        <w:t xml:space="preserve">.  </w:t>
      </w:r>
      <w:r>
        <w:rPr>
          <w:b/>
        </w:rPr>
        <w:t xml:space="preserve">Electronic death registration system</w:t>
      </w:r>
    </w:p>
    <w:p>
      <w:pPr>
        <w:jc w:val="both"/>
        <w:spacing w:before="100" w:after="100"/>
        <w:ind w:start="360"/>
        <w:ind w:firstLine="360"/>
      </w:pPr>
      <w:r>
        <w:rPr/>
      </w:r>
      <w:r>
        <w:rPr/>
      </w:r>
      <w:r>
        <w:t xml:space="preserve">A person authorized  to complete or file a certificate of death pursuant to </w:t>
      </w:r>
      <w:r>
        <w:t>section 2842</w:t>
      </w:r>
      <w:r>
        <w:t xml:space="preserve">  shall use the electronic death registration system maintained by the State Registrar of Vital Statistics.  This section does not apply to an authorized person under </w:t>
      </w:r>
      <w:r>
        <w:t>section 2846</w:t>
      </w:r>
      <w:r>
        <w:t xml:space="preserve">. The State Registrar of Vital Statistics shall adopt rules to carry out the purposes of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 §1 (AMD); PL 2017, c. 37,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371, §2 (NEW). PL 2017, c. 37, §1 (AMD). PL 2017, c. 37, §2 (AFF). </w:t>
      </w:r>
    </w:p>
    <w:p>
      <w:pPr>
        <w:jc w:val="both"/>
        <w:spacing w:before="100" w:after="100"/>
        <w:ind w:start="1080" w:hanging="720"/>
      </w:pPr>
      <w:r>
        <w:rPr>
          <w:b/>
        </w:rPr>
        <w:t>§</w:t>
        <w:t>2848</w:t>
        <w:t xml:space="preserve">.  </w:t>
      </w:r>
      <w:r>
        <w:rPr>
          <w:b/>
        </w:rPr>
        <w:t xml:space="preserve">Registering a presumed death</w:t>
      </w:r>
    </w:p>
    <w:p>
      <w:pPr>
        <w:jc w:val="both"/>
        <w:spacing w:before="100" w:after="100"/>
        <w:ind w:start="360"/>
        <w:ind w:firstLine="360"/>
      </w:pPr>
      <w:r>
        <w:rPr/>
      </w:r>
      <w:r>
        <w:rPr/>
      </w:r>
      <w:r>
        <w:t xml:space="preserve">When a death is presumed to have occurred in the State but the body has not been located, the State Registrar of Vital Statistics shall register a death in accordance with this section upon receipt of a certified copy of an order of a court issued in accordance with </w:t>
      </w:r>
      <w:r>
        <w:t>Title 18‑C, section 1‑106,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§50 (AMD); PL 2019, c. 417, Pt. B, §14 (AFF).]</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order to register a death on the basis of a court order, the court order must include:</w:t>
      </w:r>
    </w:p>
    <w:p>
      <w:pPr>
        <w:jc w:val="both"/>
        <w:spacing w:before="100" w:after="0"/>
        <w:ind w:start="720"/>
      </w:pPr>
      <w:r>
        <w:rPr/>
        <w:t>A</w:t>
        <w:t xml:space="preserve">.  </w:t>
      </w:r>
      <w:r>
        <w:rPr/>
      </w:r>
      <w:r>
        <w:t xml:space="preserve">The decedent's full legal name;</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B</w:t>
        <w:t xml:space="preserve">.  </w:t>
      </w:r>
      <w:r>
        <w:rPr/>
      </w:r>
      <w:r>
        <w:t xml:space="preserve">The date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C</w:t>
        <w:t xml:space="preserve">.  </w:t>
      </w:r>
      <w:r>
        <w:rPr/>
      </w:r>
      <w:r>
        <w:t xml:space="preserve">The municipality, county and place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D</w:t>
        <w:t xml:space="preserve">.  </w:t>
      </w:r>
      <w:r>
        <w:rPr/>
      </w:r>
      <w:r>
        <w:t xml:space="preserve">The decedent's address, including street address, municipality, county, state and zip code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E</w:t>
        <w:t xml:space="preserve">.  </w:t>
      </w:r>
      <w:r>
        <w:rPr/>
      </w:r>
      <w:r>
        <w:t xml:space="preserve">The decedent's marital status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F</w:t>
        <w:t xml:space="preserve">.  </w:t>
      </w:r>
      <w:r>
        <w:rPr/>
      </w:r>
      <w:r>
        <w:t xml:space="preserve">The given name of the decedent's surviving spouse, if any; and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G</w:t>
        <w:t xml:space="preserve">.  </w:t>
      </w:r>
      <w:r>
        <w:rPr/>
      </w:r>
      <w:r>
        <w:t xml:space="preserve">If known, information necessary to complete the medical certification including the cause and manner of death.  If the death occurred from an injury, the court order must include information on how and when the injury occurred.  If such information is not known, the order must indicate the lack of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2</w:t>
        <w:t xml:space="preserve">.  </w:t>
      </w:r>
      <w:r>
        <w:rPr>
          <w:b/>
        </w:rPr>
        <w:t xml:space="preserve">Death certificate; identification of court order.</w:t>
        <w:t xml:space="preserve"> </w:t>
      </w:r>
      <w:r>
        <w:t xml:space="preserve"> </w:t>
      </w:r>
      <w:r>
        <w:t xml:space="preserve">A death certificate issued pursuant to this section must identify the court that issued the order on which the death certificate is based and include the date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3</w:t>
        <w:t xml:space="preserve">.  </w:t>
      </w:r>
      <w:r>
        <w:rPr>
          <w:b/>
        </w:rPr>
        <w:t xml:space="preserve">Record marked "presumptive."</w:t>
        <w:t xml:space="preserve"> </w:t>
      </w:r>
      <w:r>
        <w:t xml:space="preserve"> </w:t>
      </w:r>
      <w:r>
        <w:t xml:space="preserve">The record of a death registered pursuant to this section must be marked "presumptive."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 PL 2017, c. 402, Pt. C, §50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707. DEATHS AND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