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Activation of machines</w:t>
      </w:r>
    </w:p>
    <w:p>
      <w:pPr>
        <w:jc w:val="both"/>
        <w:spacing w:before="100" w:after="100"/>
        <w:ind w:start="360"/>
        <w:ind w:firstLine="360"/>
      </w:pPr>
      <w:r>
        <w:rPr/>
      </w:r>
      <w:r>
        <w:rPr/>
      </w:r>
      <w:r>
        <w:t xml:space="preserve">The voting machines shall be activated by the warden or an election clerk designated by him.</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warden or, in the warden's absence, a designated election clerk must activate each voting machine so that a voter can vote only for the candidates of the political party in which the voter is enrolled.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§825. Activation of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Activation of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§825. ACTIVATION OF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