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818</w:t>
        <w:t xml:space="preserve">.  </w:t>
      </w:r>
      <w:r>
        <w:rPr>
          <w:b/>
        </w:rPr>
        <w:t xml:space="preserve">Arrangement of voting place</w:t>
      </w:r>
    </w:p>
    <w:p>
      <w:pPr>
        <w:jc w:val="both"/>
        <w:spacing w:before="100" w:after="100"/>
        <w:ind w:start="360"/>
        <w:ind w:firstLine="360"/>
      </w:pPr>
      <w:r>
        <w:rPr/>
      </w:r>
      <w:r>
        <w:rPr/>
      </w:r>
      <w:r>
        <w:t xml:space="preserve">The municipal officers shall arrange each voting place in compliance with </w:t>
      </w:r>
      <w:r>
        <w:t>section 627</w:t>
      </w:r>
      <w:r>
        <w:t xml:space="preserve">, except that voting booths need not be furnished.</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§818. Arrangement of voting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§818. Arrangement of voting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§818. ARRANGEMENT OF VOTING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