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334</w:t>
        <w:t xml:space="preserve">.  </w:t>
      </w:r>
      <w:r>
        <w:rPr>
          <w:b/>
        </w:rPr>
        <w:t xml:space="preserve">Qualification of candidate for primary nomination</w:t>
      </w:r>
    </w:p>
    <w:p>
      <w:pPr>
        <w:jc w:val="both"/>
        <w:spacing w:before="100" w:after="100"/>
        <w:ind w:start="360"/>
        <w:ind w:firstLine="360"/>
      </w:pPr>
      <w:r>
        <w:rPr/>
      </w:r>
      <w:r>
        <w:rPr/>
      </w:r>
      <w:r>
        <w:t xml:space="preserve">A candidate for nomination by primary election must file a primary petition and consent under </w:t>
      </w:r>
      <w:r>
        <w:t>sections 335</w:t>
      </w:r>
      <w:r>
        <w:t xml:space="preserve"> and </w:t>
      </w:r>
      <w:r>
        <w:t>336</w:t>
      </w:r>
      <w:r>
        <w:t xml:space="preserve">.  The candidate must be enrolled, on or before March 15th, in the party named in the petition and must be eligible to file a petition as a candidate for nomination by primary election under </w:t>
      </w:r>
      <w:r>
        <w:t>section 144, subsection 3</w:t>
      </w:r>
      <w:r>
        <w:t xml:space="preserve">.  The registrar in the candidate's municipality of residence must certify to that fact on a form designed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2009, c. 253,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1995, c. 459, §21 (AMD). PL 2009, c. 253,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§334. Qualification of candidate for primary nomination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§334. Qualification of candidate for primary nomination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§334. QUALIFICATION OF CANDIDATE FOR PRIMARY NOMINATION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