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§6903. Board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Board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§6903. BOARD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