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6901</w:t>
        <w:t xml:space="preserve">.  </w:t>
      </w:r>
      <w:r>
        <w:rPr>
          <w:b/>
        </w:rPr>
        <w:t xml:space="preserve">Establishment</w:t>
      </w:r>
    </w:p>
    <w:p>
      <w:pPr>
        <w:jc w:val="both"/>
        <w:spacing w:before="100" w:after="100"/>
        <w:ind w:start="360"/>
        <w:ind w:firstLine="360"/>
      </w:pPr>
      <w:r>
        <w:rPr/>
      </w:r>
      <w:r>
        <w:rPr/>
      </w:r>
      <w:r>
        <w:t xml:space="preserve">Jobs for Maine's Graduates, referred to in this chapter as the "corporation," is established to extend necessary dropout prevention and school-to-work transition services to schools and students throughout the State.  The corporation shall carry out its purposes in coordination with the education and job training activities of the private sector, community and regional agencies and State Government.</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100"/>
        <w:ind w:start="360"/>
        <w:ind w:firstLine="360"/>
      </w:pPr>
      <w:r>
        <w:rPr/>
      </w:r>
      <w:r>
        <w:rPr/>
      </w:r>
      <w:r>
        <w:t xml:space="preserve">The corporation is a private, nonprofit corporation with a public purpose under the United States Internal Revenue Code, Section 501(c)(3) and the exercise by the corporation of the powers conferred by this chapter is held to be an essential government function.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