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6807</w:t>
        <w:t xml:space="preserve">.  </w:t>
      </w:r>
      <w:r>
        <w:rPr>
          <w:b/>
        </w:rPr>
        <w:t xml:space="preserve">Liability for injury to books or appliances</w:t>
      </w:r>
    </w:p>
    <w:p>
      <w:pPr>
        <w:jc w:val="both"/>
        <w:spacing w:before="100" w:after="100"/>
        <w:ind w:start="360"/>
        <w:ind w:firstLine="360"/>
      </w:pPr>
      <w:r>
        <w:rPr/>
      </w:r>
      <w:r>
        <w:rPr/>
      </w:r>
      <w:r>
        <w:t xml:space="preserve">If a public school student loses, destroys or unnecessarily injures a schoolbook or appliance furnished to the student at the expense of the school administrative unit, the student's parent must be notified.  If the loss or damage is not made good to the satisfaction of the school board within 45 working days, the board shall report the case to the assessors of the  municipality in which the student resides.  The municipal assessors shall include in the next municipal tax of the delinquent parent the replacement costs of the book or appliance, to be assessed and collected as other municipal taxes, and the money collected must go the municipality.</w:t>
      </w:r>
      <w:r>
        <w:t xml:space="preserve">  </w:t>
      </w:r>
      <w:r xmlns:wp="http://schemas.openxmlformats.org/drawingml/2010/wordprocessingDrawing" xmlns:w15="http://schemas.microsoft.com/office/word/2012/wordml">
        <w:rPr>
          <w:rFonts w:ascii="Arial" w:hAnsi="Arial" w:cs="Arial"/>
          <w:sz w:val="22"/>
          <w:szCs w:val="22"/>
        </w:rPr>
        <w:t xml:space="preserve">[PL 2001, c. 189,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§62 (AMD). PL 2001, c. 189,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§6807. Liability for injury to books or appliances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§6807. Liability for injury to books or appliances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§6807. LIABILITY FOR INJURY TO BOOKS OR APPLIANCES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