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w:t>
        <w:t xml:space="preserve">.  </w:t>
      </w:r>
      <w:r>
        <w:rPr>
          <w:b/>
        </w:rPr>
        <w:t xml:space="preserve">Residents on state-owned property</w:t>
      </w:r>
    </w:p>
    <w:p>
      <w:pPr>
        <w:jc w:val="both"/>
        <w:spacing w:before="100" w:after="100"/>
        <w:ind w:start="360"/>
        <w:ind w:firstLine="360"/>
      </w:pPr>
      <w:r>
        <w:rPr/>
      </w:r>
      <w:r>
        <w:rPr/>
      </w:r>
      <w:r>
        <w:t xml:space="preserve">The commissioner shall, in accordance with procedures established in </w:t>
      </w:r>
      <w:r>
        <w:t>section 5401, subsection 6</w:t>
      </w:r>
      <w:r>
        <w:t xml:space="preserve">, reimburse a school administrative unit for approved tuition for students who reside on state-owned property.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§5802. Residents on state-owned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 Residents on state-owned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§5802. RESIDENTS ON STATE-OWNED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