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3648</w:t>
        <w:t xml:space="preserve">.  </w:t>
      </w:r>
      <w:r>
        <w:rPr>
          <w:b/>
        </w:rPr>
        <w:t xml:space="preserve">Power to acquire property of member district</w:t>
      </w:r>
    </w:p>
    <w:p>
      <w:pPr>
        <w:jc w:val="both"/>
        <w:spacing w:before="100" w:after="100"/>
        <w:ind w:start="360"/>
        <w:ind w:firstLine="360"/>
      </w:pPr>
      <w:r>
        <w:rPr/>
      </w:r>
      <w:r>
        <w:rPr/>
      </w:r>
      <w:r>
        <w:t xml:space="preserve">The articles of agreement, or an amendment thereof, may provide for the acquisition by an interstate district from a member district of all or a part of its existing plant and equipment.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§3648. Power to acquire property of member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§3648. Power to acquire property of member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§3648. POWER TO ACQUIRE PROPERTY OF MEMBER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