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3606</w:t>
        <w:t xml:space="preserve">.  </w:t>
      </w:r>
      <w:r>
        <w:rPr>
          <w:b/>
        </w:rPr>
        <w:t xml:space="preserve">Operating procedures of planning committee</w:t>
      </w:r>
    </w:p>
    <w:p>
      <w:pPr>
        <w:jc w:val="both"/>
        <w:spacing w:before="100" w:after="100"/>
        <w:ind w:start="360"/>
        <w:ind w:firstLine="360"/>
      </w:pPr>
      <w:r>
        <w:rPr/>
      </w:r>
      <w:r>
        <w:rPr/>
      </w:r>
      <w:r>
        <w:t xml:space="preserve">Each interstate school district planning committee shall meet in the first instance at the call of any member, and shall organize by the election of a chairman and clerk-treasurer, each of whom shall be a resident of a different state.  Subsequent meetings may be called by either officer of the committee. The members of the committee shall serve without pay.  The member districts shall appropriate money on an equal basis at each annual meeting to meet the expenses of the committee, including the cost of publication and distribution of reports and advertising.  From time to time the commissioners may add additional members and additional member districts to the committee, and may remove members and member districts from the committee.  An interstate school district planning committee shall act by majority vote of its membership present and voting.</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§3606. Operating procedures of planning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§3606. Operating procedures of planning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§3606. OPERATING PROCEDURES OF PLANNING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