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20104</w:t>
        <w:t xml:space="preserve">.  </w:t>
      </w:r>
      <w:r>
        <w:rPr>
          <w:b/>
        </w:rPr>
        <w:t xml:space="preserve">Educational records and enrollment - Article 4</w:t>
      </w:r>
    </w:p>
    <w:p>
      <w:pPr>
        <w:jc w:val="both"/>
        <w:spacing w:before="100" w:after="100"/>
        <w:ind w:start="360"/>
        <w:ind w:firstLine="360"/>
      </w:pPr>
      <w:r>
        <w:rPr/>
      </w:r>
      <w:r>
        <w:rPr/>
      </w:r>
      <w:r>
        <w:t xml:space="preserve">This section applies to the transition of students subject to this chapter pursuant to </w:t>
      </w:r>
      <w:r>
        <w:t>section 20103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Unofficial educational records.</w:t>
        <w:t xml:space="preserve"> </w:t>
      </w:r>
      <w:r>
        <w:t xml:space="preserve"> </w:t>
      </w:r>
      <w:r>
        <w:t xml:space="preserve">If official educational records cannot be released to the parent or parents of the transitioning student, the custodian of the records in the sending state shall prepare and furnish to the parent a complete set of unofficial educational records containing uniform information as determined by the interstate commission. Upon receipt of the unofficial educational records by a school in the receiving state, the school in the receiving state, as quickly as possible, shall enroll and appropriately place the student based on the information provided in the unofficial records pending validation by the official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Official educational records.</w:t>
        <w:t xml:space="preserve"> </w:t>
      </w:r>
      <w:r>
        <w:t xml:space="preserve"> </w:t>
      </w:r>
      <w:r>
        <w:t xml:space="preserve">Simultaneous with the enrollment and conditional placement of the student, the school in the receiving state shall request the student’s official educational record from the school in the sending state. Upon receipt of this request, the school in the sending state shall process and furnish the official educational records to the school in the receiving state within 10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Immunizations.</w:t>
        <w:t xml:space="preserve"> </w:t>
      </w:r>
      <w:r>
        <w:t xml:space="preserve"> </w:t>
      </w:r>
      <w:r>
        <w:t xml:space="preserve">A member state shall give 30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30 days or within such time as is reasonably determined under the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Kindergarten and first grade entrance age.</w:t>
        <w:t xml:space="preserve"> </w:t>
      </w:r>
      <w:r>
        <w:t xml:space="preserve"> </w:t>
      </w:r>
      <w:r>
        <w:t xml:space="preserve">A student must be allowed to continue enrollment at grade level in the receiving state commensurate with that student’s grade level from a local education agency in the sending state at the time of transition, regardless of age. A student that has satisfactorily completed the prerequisite grade level in the local education agency in the sending state is eligible for enrollment in the next highest grade level in the receiving state, regardless of age. A student transferring after the start of the school year in the receiving state must enter the school in the receiving state on that student's validated level from an accredited school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§20104. Educational records and enrollment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§20104. Educational records and enrollment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§20104. EDUCATIONAL RECORDS AND ENROLLMENT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