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1903</w:t>
        <w:t xml:space="preserve">.  </w:t>
      </w:r>
      <w:r>
        <w:rPr>
          <w:b/>
        </w:rPr>
        <w:t xml:space="preserve">Appropriation for superintendent's salary</w:t>
      </w:r>
    </w:p>
    <w:p>
      <w:pPr>
        <w:jc w:val="both"/>
        <w:spacing w:before="100" w:after="100"/>
        <w:ind w:start="360"/>
        <w:ind w:firstLine="360"/>
      </w:pPr>
      <w:r>
        <w:rPr/>
      </w:r>
      <w:r>
        <w:rPr/>
      </w:r>
      <w:r>
        <w:t xml:space="preserve">School administrative units shall appropriate for the salary of the superintendent their proportion of the sum paid the superintendent, but not more than the amount certified by the union committee, to the municipal treasurer.  The proportion to be paid by a municipality shall be paid out of the appropriation made for the support or maintenance of public schools.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§1903. Appropriation for superintendent's salary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§1903. Appropriation for superintendent's salary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§1903. APPROPRIATION FOR SUPERINTENDENT'S SALARY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