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Reconsideration</w:t>
      </w:r>
    </w:p>
    <w:p>
      <w:pPr>
        <w:jc w:val="both"/>
        <w:spacing w:before="100" w:after="100"/>
        <w:ind w:start="360"/>
        <w:ind w:firstLine="360"/>
      </w:pPr>
      <w:r>
        <w:rPr/>
      </w:r>
      <w:r>
        <w:rPr/>
      </w:r>
      <w:r>
        <w:t xml:space="preserve">The procedure to reconsider votes taken at a district referendum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Time limit.</w:t>
        <w:t xml:space="preserve"> </w:t>
      </w:r>
      <w:r>
        <w:t xml:space="preserve"> </w:t>
      </w:r>
      <w:r>
        <w:t xml:space="preserve">The board of directors shall, within 60 days, initiate a new district referendum to reconsider the vote of the previous referendum if, within 7 days of the first referendum, at least 10% of the number of voters voting for the gubernatorial candidates in the last gubernatorial election in the municipalities within the district petition to reconsider a prior district referendum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Required quorum.</w:t>
        <w:t xml:space="preserve"> </w:t>
      </w:r>
      <w:r>
        <w:t xml:space="preserve"> </w:t>
      </w:r>
      <w:r>
        <w:t xml:space="preserve">A reconsideration referendum is not valid unless the number of persons voting in that referendum is at least equal to the number who voted in the prior district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Bond.</w:t>
        <w:t xml:space="preserve"> </w:t>
      </w:r>
      <w:r>
        <w:t xml:space="preserve"> </w:t>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which may be incurred as a result of the delay of an authorization or approval granted in the prior district referendum. If the petitioners are successful, the bonds shall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§1354.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§1354.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