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§11478. Ownership of account; transfer of ownership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§11478. Ownership of account; transfer of ownership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§11478. OWNERSHIP OF ACCOUNT; TRANSFER OF OWNERSHIP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