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11430</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which the authority may issue in accordance with the limitations and restrictions of this chapter, the authority may covenant, elect and consent that the interest on the bonds shall be includable, under the code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code or any subsequent law.  Bonds issued pursuant to this section shall not be subject to any limitations or restrictions of any law which may limit the authority's power to issue those bonds.  The foregoing grant of power shall not be construed as limiting the inherent power of the State or its agencies under any other provision of law to issue debt, the interest on which is includable in the gross income of the holders under the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§11430. Taxable bond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§11430. Taxable bond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§11430. TAXABLE BOND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