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11425</w:t>
        <w:t xml:space="preserve">.  </w:t>
      </w:r>
      <w:r>
        <w:rPr>
          <w:b/>
        </w:rPr>
        <w:t xml:space="preserve">Enforcement of rights and duties</w:t>
      </w:r>
    </w:p>
    <w:p>
      <w:pPr>
        <w:jc w:val="both"/>
        <w:spacing w:before="100" w:after="100"/>
        <w:ind w:start="360"/>
        <w:ind w:firstLine="360"/>
      </w:pPr>
      <w:r>
        <w:rPr/>
      </w:r>
      <w:r>
        <w:rPr/>
      </w:r>
      <w:r>
        <w:t xml:space="preserve">Except to the extent that the rights are restricted by any applicable bond resolution or trust or other agreement, any holder of bonds issued under this chapter or a trustee under a trust agreement entered into under this chapter may, by any suitable form of legal proceedings, protect and enforce any rights granted under the laws of the State or by any applicable bond resolution or trust or other agreement.</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§11425. Enforcement of rights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§11425. Enforcement of rights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§11425. ENFORCEMENT OF RIGHTS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