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10984</w:t>
        <w:t xml:space="preserve">.  </w:t>
      </w:r>
      <w:r>
        <w:rPr>
          <w:b/>
        </w:rPr>
        <w:t xml:space="preserve">No reduction in benefits</w:t>
      </w:r>
    </w:p>
    <w:p>
      <w:pPr>
        <w:jc w:val="both"/>
        <w:spacing w:before="100" w:after="100"/>
        <w:ind w:start="360"/>
        <w:ind w:firstLine="360"/>
      </w:pPr>
      <w:r>
        <w:rPr/>
      </w:r>
      <w:r>
        <w:rPr/>
      </w:r>
      <w:r>
        <w:t xml:space="preserve">Notwithstanding any other rule or provision of state law, the first $10,000 of funds and any accrued interest in an account under this chapter are excluded from consideration in determining eligibility or benefit levels for any assistance or benefit granted under state law.</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§10984. No reduction in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§10984. No reduction in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§10984. NO REDUCTION IN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