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10203</w:t>
        <w:t xml:space="preserve">.  </w:t>
      </w:r>
      <w:r>
        <w:rPr>
          <w:b/>
        </w:rPr>
        <w:t xml:space="preserve">Authority</w:t>
      </w:r>
    </w:p>
    <w:p>
      <w:pPr>
        <w:jc w:val="both"/>
        <w:spacing w:before="100" w:after="100"/>
        <w:ind w:start="360"/>
        <w:ind w:firstLine="360"/>
      </w:pPr>
      <w:r>
        <w:rPr/>
      </w:r>
      <w:r>
        <w:rPr/>
      </w:r>
      <w:r>
        <w:t xml:space="preserve">ETLM may, among other things, conduct tests, list products, supply labels, make reports, provide consultant services and provide other services consistent with the overall goals and objectives of ETLM as set forth in </w:t>
      </w:r>
      <w:r>
        <w:t>section 10202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 PL 1991, c. 824, §A33 (AMD). PL 1997, c. 607,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§10203.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§10203.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§10203.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