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DEAF AND HARD-OF-HEARING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18091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18092</w:t>
        <w:t xml:space="preserve">.  </w:t>
      </w:r>
      <w:r>
        <w:rPr>
          <w:b/>
        </w:rPr>
        <w:t xml:space="preserve">Telecommunication equipment for deaf, hard-of-hearing and speech-impaired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center"/>
        <w:ind w:start="360"/>
        <w:spacing w:before="300" w:after="300"/>
      </w:pPr>
      <w:r>
        <w:rPr>
          <w:b/>
        </w:rPr>
        <w:t>SUBCHAPTER</w:t>
        <w:t xml:space="preserve"> </w:t>
        <w:t>2</w:t>
      </w:r>
    </w:p>
    <w:p>
      <w:pPr>
        <w:jc w:val="center"/>
        <w:ind w:start="360"/>
        <w:spacing w:before="300" w:after="300"/>
      </w:pPr>
      <w:r>
        <w:rPr>
          <w:b/>
        </w:rPr>
        <w:t xml:space="preserve">RIGHTS OF DEAF AND HARD-OF-HEARING PERSONS</w:t>
      </w:r>
    </w:p>
    <w:p>
      <w:pPr>
        <w:jc w:val="center"/>
        <w:ind w:start="360"/>
        <w:spacing w:before="300" w:after="300"/>
      </w:pPr>
      <w:r>
        <w:rPr>
          <w:b/>
        </w:rPr>
        <w:t>(REPEALED)</w:t>
      </w:r>
    </w:p>
    <w:p>
      <w:pPr>
        <w:jc w:val="both"/>
        <w:spacing w:before="100" w:after="100"/>
        <w:ind w:start="1080" w:hanging="720"/>
      </w:pPr>
      <w:r>
        <w:rPr>
          <w:b/>
        </w:rPr>
        <w:t>§</w:t>
        <w:t>18101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18102</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18103</w:t>
        <w:t xml:space="preserve">.  </w:t>
      </w:r>
      <w:r>
        <w:rPr>
          <w:b/>
        </w:rPr>
        <w:t xml:space="preserve">Motor vehicle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jc w:val="both"/>
        <w:spacing w:before="100" w:after="100"/>
        <w:ind w:start="1080" w:hanging="720"/>
      </w:pPr>
      <w:r>
        <w:rPr>
          <w:b/>
        </w:rPr>
        <w:t>§</w:t>
        <w:t>18104</w:t>
        <w:t xml:space="preserve">.  </w:t>
      </w:r>
      <w:r>
        <w:rPr>
          <w:b/>
        </w:rPr>
        <w:t xml:space="preserve">Penalty; 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715. DEAF AND HARD-OF-HEARING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DEAF AND HARD-OF-HEARING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715. DEAF AND HARD-OF-HEARING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