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417-B</w:t>
      </w:r>
    </w:p>
    <w:p>
      <w:pPr>
        <w:jc w:val="center"/>
        <w:ind w:start="360"/>
        <w:spacing w:before="300" w:after="300"/>
      </w:pPr>
      <w:r>
        <w:rPr>
          <w:b/>
        </w:rPr>
        <w:t xml:space="preserve">SUPPLEMENTAL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417-B. SUPPLEMENTAL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417-B. SUPPLEMENTAL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417-B. SUPPLEMENTAL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