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Action for divorce;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Action for divorce;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§901. ACTION FOR DIVORCE;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